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8E5" w:rsidRPr="004E703E" w:rsidRDefault="00A838E5" w:rsidP="00A838E5">
      <w:pPr>
        <w:jc w:val="center"/>
        <w:rPr>
          <w:rFonts w:ascii="Garamond" w:hAnsi="Garamond" w:cs="Times New Roman"/>
          <w:b/>
          <w:sz w:val="28"/>
          <w:szCs w:val="28"/>
        </w:rPr>
      </w:pPr>
      <w:r w:rsidRPr="004E703E">
        <w:rPr>
          <w:rFonts w:ascii="Garamond" w:hAnsi="Garamond" w:cs="Times New Roman"/>
          <w:b/>
          <w:sz w:val="28"/>
          <w:szCs w:val="28"/>
        </w:rPr>
        <w:t>TOP OF THE HOURGLASS</w:t>
      </w:r>
    </w:p>
    <w:p w:rsidR="00D84599" w:rsidRPr="00D84599" w:rsidRDefault="00A838E5" w:rsidP="00D84599">
      <w:pPr>
        <w:pStyle w:val="ListParagraph"/>
        <w:numPr>
          <w:ilvl w:val="0"/>
          <w:numId w:val="1"/>
        </w:numPr>
        <w:rPr>
          <w:rFonts w:ascii="Garamond" w:hAnsi="Garamond" w:cs="Times New Roman"/>
          <w:b/>
          <w:sz w:val="24"/>
          <w:szCs w:val="24"/>
        </w:rPr>
      </w:pPr>
      <w:r w:rsidRPr="004E703E">
        <w:rPr>
          <w:rFonts w:ascii="Garamond" w:hAnsi="Garamond" w:cs="Times New Roman"/>
          <w:sz w:val="24"/>
          <w:szCs w:val="24"/>
        </w:rPr>
        <w:t>Introduction: I am examining place and lived experience in the production fiction representing or responding to earthquakes. This inquiry is motivated by the role of fiction as an artifact of culture and in this case of “earthquake culture” in the disaster discourse of the West Coast of the United States and Japan. Academically, this project fills important gaps in both the humanities and the sciences by bridging disaster and literary studies. The project speaks to the networks involved with creating art and the nebulous border between ‘reality’ and fiction. To this end, my framing question is:</w:t>
      </w:r>
      <w:r w:rsidR="00D84599">
        <w:rPr>
          <w:rFonts w:ascii="Garamond" w:hAnsi="Garamond" w:cs="Times New Roman"/>
          <w:sz w:val="24"/>
          <w:szCs w:val="24"/>
        </w:rPr>
        <w:t xml:space="preserve"> </w:t>
      </w:r>
      <w:r w:rsidR="00D84599" w:rsidRPr="00D84599">
        <w:rPr>
          <w:rFonts w:ascii="Garamond" w:hAnsi="Garamond" w:cs="Times New Roman"/>
          <w:b/>
          <w:sz w:val="24"/>
          <w:szCs w:val="24"/>
        </w:rPr>
        <w:t>What power does literature ha</w:t>
      </w:r>
      <w:bookmarkStart w:id="0" w:name="_GoBack"/>
      <w:bookmarkEnd w:id="0"/>
      <w:r w:rsidR="00D84599" w:rsidRPr="00D84599">
        <w:rPr>
          <w:rFonts w:ascii="Garamond" w:hAnsi="Garamond" w:cs="Times New Roman"/>
          <w:b/>
          <w:sz w:val="24"/>
          <w:szCs w:val="24"/>
        </w:rPr>
        <w:t>ve to act upon cultures unsettled by risk of disaster?</w:t>
      </w:r>
    </w:p>
    <w:p w:rsidR="00D84599" w:rsidRPr="00D84599" w:rsidRDefault="00D84599" w:rsidP="00D84599">
      <w:pPr>
        <w:pStyle w:val="ListParagraph"/>
        <w:numPr>
          <w:ilvl w:val="0"/>
          <w:numId w:val="1"/>
        </w:numPr>
        <w:rPr>
          <w:rStyle w:val="Strong"/>
          <w:rFonts w:ascii="Garamond" w:hAnsi="Garamond" w:cs="Times New Roman"/>
          <w:b w:val="0"/>
          <w:bCs w:val="0"/>
          <w:sz w:val="24"/>
          <w:szCs w:val="24"/>
        </w:rPr>
      </w:pPr>
      <w:r>
        <w:rPr>
          <w:rFonts w:ascii="Garamond" w:hAnsi="Garamond" w:cs="Times New Roman"/>
          <w:sz w:val="24"/>
          <w:szCs w:val="24"/>
        </w:rPr>
        <w:t>Thesis statement: to be filled in after the writing of the paper</w:t>
      </w:r>
    </w:p>
    <w:p w:rsidR="00A838E5" w:rsidRPr="004E703E" w:rsidRDefault="00A838E5" w:rsidP="004E703E">
      <w:pPr>
        <w:pStyle w:val="ListParagraph"/>
        <w:numPr>
          <w:ilvl w:val="0"/>
          <w:numId w:val="1"/>
        </w:numPr>
        <w:tabs>
          <w:tab w:val="left" w:pos="3537"/>
        </w:tabs>
        <w:rPr>
          <w:rFonts w:ascii="Garamond" w:hAnsi="Garamond" w:cs="Times New Roman"/>
          <w:sz w:val="24"/>
          <w:szCs w:val="24"/>
        </w:rPr>
      </w:pPr>
      <w:r w:rsidRPr="004E703E">
        <w:rPr>
          <w:rFonts w:ascii="Garamond" w:hAnsi="Garamond" w:cs="Times New Roman"/>
          <w:sz w:val="24"/>
          <w:szCs w:val="24"/>
        </w:rPr>
        <w:t>Theoretical Frameworks &amp; Key Concepts</w:t>
      </w:r>
    </w:p>
    <w:p w:rsidR="00A838E5" w:rsidRPr="004E703E" w:rsidRDefault="00A838E5" w:rsidP="00A838E5">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Theories</w:t>
      </w:r>
    </w:p>
    <w:p w:rsidR="00A838E5" w:rsidRPr="004E703E" w:rsidRDefault="00A838E5" w:rsidP="00A838E5">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Fiction as Place</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The Carrier Bag Theory of Fiction (Le </w:t>
      </w:r>
      <w:proofErr w:type="spellStart"/>
      <w:r w:rsidRPr="004E703E">
        <w:rPr>
          <w:rFonts w:ascii="Garamond" w:hAnsi="Garamond" w:cs="Times New Roman"/>
          <w:sz w:val="24"/>
          <w:szCs w:val="24"/>
        </w:rPr>
        <w:t>Guin</w:t>
      </w:r>
      <w:proofErr w:type="spellEnd"/>
      <w:r w:rsidRPr="004E703E">
        <w:rPr>
          <w:rFonts w:ascii="Garamond" w:hAnsi="Garamond" w:cs="Times New Roman"/>
          <w:sz w:val="24"/>
          <w:szCs w:val="24"/>
        </w:rPr>
        <w:t xml:space="preserve"> 1984): Fiction is a container, and therefore a piece of human technology. Both the content and the form of the container implicate the cultural function of the story.  </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Transportation Theories (Green &amp; Brock, </w:t>
      </w:r>
      <w:proofErr w:type="spellStart"/>
      <w:r w:rsidRPr="004E703E">
        <w:rPr>
          <w:rFonts w:ascii="Garamond" w:hAnsi="Garamond" w:cs="Times New Roman"/>
          <w:sz w:val="24"/>
          <w:szCs w:val="24"/>
        </w:rPr>
        <w:t>Bussell</w:t>
      </w:r>
      <w:proofErr w:type="spellEnd"/>
      <w:r w:rsidRPr="004E703E">
        <w:rPr>
          <w:rFonts w:ascii="Garamond" w:hAnsi="Garamond" w:cs="Times New Roman"/>
          <w:sz w:val="24"/>
          <w:szCs w:val="24"/>
        </w:rPr>
        <w:t xml:space="preserve"> &amp; </w:t>
      </w:r>
      <w:proofErr w:type="spellStart"/>
      <w:r w:rsidRPr="004E703E">
        <w:rPr>
          <w:rFonts w:ascii="Garamond" w:hAnsi="Garamond" w:cs="Times New Roman"/>
          <w:sz w:val="24"/>
          <w:szCs w:val="24"/>
        </w:rPr>
        <w:t>Bilandzic</w:t>
      </w:r>
      <w:proofErr w:type="spellEnd"/>
      <w:r w:rsidRPr="004E703E">
        <w:rPr>
          <w:rFonts w:ascii="Garamond" w:hAnsi="Garamond" w:cs="Times New Roman"/>
          <w:sz w:val="24"/>
          <w:szCs w:val="24"/>
        </w:rPr>
        <w:t>): Reading displaces readers from the place they are actually in into the world that the narrative constructs.</w:t>
      </w:r>
    </w:p>
    <w:p w:rsidR="00A838E5" w:rsidRPr="004E703E" w:rsidRDefault="00A838E5" w:rsidP="00A838E5">
      <w:pPr>
        <w:pStyle w:val="ListParagraph"/>
        <w:numPr>
          <w:ilvl w:val="4"/>
          <w:numId w:val="1"/>
        </w:numPr>
        <w:rPr>
          <w:rFonts w:ascii="Garamond" w:hAnsi="Garamond" w:cs="Times New Roman"/>
          <w:sz w:val="24"/>
          <w:szCs w:val="24"/>
        </w:rPr>
      </w:pPr>
      <w:r w:rsidRPr="004E703E">
        <w:rPr>
          <w:rFonts w:ascii="Garamond" w:hAnsi="Garamond" w:cs="Times New Roman"/>
          <w:sz w:val="24"/>
          <w:szCs w:val="24"/>
        </w:rPr>
        <w:t xml:space="preserve">This narrative world has internal rules (Leitch). </w:t>
      </w:r>
    </w:p>
    <w:p w:rsidR="00A838E5" w:rsidRPr="004E703E" w:rsidRDefault="00A838E5" w:rsidP="00A838E5">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Earthquake Culture </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The integration of earthquake experience and knowledge into the political, physical (infrastructural), and informal knowledge of a place. </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Where does earthquake culture come from? Where can we see it? </w:t>
      </w:r>
    </w:p>
    <w:p w:rsidR="00A838E5" w:rsidRPr="004E703E" w:rsidRDefault="00A838E5" w:rsidP="00A838E5">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Key Concepts</w:t>
      </w:r>
    </w:p>
    <w:p w:rsidR="00A838E5" w:rsidRPr="004E703E" w:rsidRDefault="00A838E5" w:rsidP="00A838E5">
      <w:pPr>
        <w:pStyle w:val="ListParagraph"/>
        <w:numPr>
          <w:ilvl w:val="2"/>
          <w:numId w:val="1"/>
        </w:numPr>
        <w:rPr>
          <w:rFonts w:ascii="Garamond" w:hAnsi="Garamond" w:cs="Times New Roman"/>
          <w:sz w:val="24"/>
          <w:szCs w:val="24"/>
        </w:rPr>
      </w:pPr>
      <w:proofErr w:type="spellStart"/>
      <w:r w:rsidRPr="004E703E">
        <w:rPr>
          <w:rFonts w:ascii="Garamond" w:hAnsi="Garamond" w:cs="Times New Roman"/>
          <w:sz w:val="24"/>
          <w:szCs w:val="24"/>
        </w:rPr>
        <w:t>Ecocritcism</w:t>
      </w:r>
      <w:proofErr w:type="spellEnd"/>
      <w:r w:rsidRPr="004E703E">
        <w:rPr>
          <w:rFonts w:ascii="Garamond" w:hAnsi="Garamond" w:cs="Times New Roman"/>
          <w:sz w:val="24"/>
          <w:szCs w:val="24"/>
        </w:rPr>
        <w:t xml:space="preserve"> &amp; the fiction of crisis</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A response to apocalyptic classic environmentalism, hasn’t changed much. Deep ecology also resonates. </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Many assumptions in critical works of eco-criticism; largely about ‘the environmental crisis’ </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Gap in ecocriticism: discussions of natural disasters such as earthquakes that are not often seen as anthropogenic, but have human consequences. </w:t>
      </w:r>
    </w:p>
    <w:p w:rsidR="00A838E5" w:rsidRPr="004E703E" w:rsidRDefault="00A838E5" w:rsidP="00A838E5">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Science Fiction</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Environmental history assigns narrative to environmental pasts (</w:t>
      </w:r>
      <w:proofErr w:type="spellStart"/>
      <w:r w:rsidRPr="004E703E">
        <w:rPr>
          <w:rFonts w:ascii="Garamond" w:hAnsi="Garamond" w:cs="Times New Roman"/>
          <w:sz w:val="24"/>
          <w:szCs w:val="24"/>
        </w:rPr>
        <w:t>Cronon</w:t>
      </w:r>
      <w:proofErr w:type="spellEnd"/>
      <w:r w:rsidRPr="004E703E">
        <w:rPr>
          <w:rFonts w:ascii="Garamond" w:hAnsi="Garamond" w:cs="Times New Roman"/>
          <w:sz w:val="24"/>
          <w:szCs w:val="24"/>
        </w:rPr>
        <w:t xml:space="preserve">); science fiction often assigns narrative to imagined environmental futures (also known as speculative fiction) </w:t>
      </w:r>
    </w:p>
    <w:p w:rsidR="00A838E5" w:rsidRPr="004E703E" w:rsidRDefault="00A838E5" w:rsidP="00A838E5">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Apocalypse and catastrophe a popular sub-genre of SF, which include earthquakes </w:t>
      </w:r>
    </w:p>
    <w:p w:rsidR="00A838E5" w:rsidRPr="004E703E" w:rsidRDefault="00A838E5" w:rsidP="00A838E5">
      <w:pPr>
        <w:jc w:val="center"/>
        <w:rPr>
          <w:rFonts w:ascii="Garamond" w:hAnsi="Garamond" w:cs="Times New Roman"/>
          <w:b/>
          <w:sz w:val="28"/>
          <w:szCs w:val="28"/>
        </w:rPr>
      </w:pPr>
    </w:p>
    <w:p w:rsidR="00A838E5" w:rsidRPr="004E703E" w:rsidRDefault="00A838E5" w:rsidP="00A838E5">
      <w:pPr>
        <w:jc w:val="center"/>
        <w:rPr>
          <w:rFonts w:ascii="Garamond" w:hAnsi="Garamond" w:cs="Times New Roman"/>
          <w:b/>
          <w:sz w:val="28"/>
          <w:szCs w:val="28"/>
        </w:rPr>
      </w:pPr>
    </w:p>
    <w:p w:rsidR="00A838E5" w:rsidRPr="004E703E" w:rsidRDefault="00A838E5" w:rsidP="00A838E5">
      <w:pPr>
        <w:jc w:val="center"/>
        <w:rPr>
          <w:rFonts w:ascii="Garamond" w:hAnsi="Garamond" w:cs="Times New Roman"/>
          <w:b/>
          <w:sz w:val="28"/>
          <w:szCs w:val="28"/>
        </w:rPr>
      </w:pPr>
      <w:r w:rsidRPr="004E703E">
        <w:rPr>
          <w:rFonts w:ascii="Garamond" w:hAnsi="Garamond" w:cs="Times New Roman"/>
          <w:b/>
          <w:sz w:val="28"/>
          <w:szCs w:val="28"/>
        </w:rPr>
        <w:lastRenderedPageBreak/>
        <w:t>MIDDLE OF THE HOURGLASS</w:t>
      </w:r>
    </w:p>
    <w:p w:rsidR="00A838E5" w:rsidRPr="004E703E" w:rsidRDefault="00A838E5" w:rsidP="00A838E5">
      <w:pPr>
        <w:pStyle w:val="ListParagraph"/>
        <w:numPr>
          <w:ilvl w:val="0"/>
          <w:numId w:val="1"/>
        </w:numPr>
        <w:rPr>
          <w:rFonts w:ascii="Garamond" w:hAnsi="Garamond" w:cs="Times New Roman"/>
          <w:sz w:val="24"/>
          <w:szCs w:val="24"/>
        </w:rPr>
      </w:pPr>
      <w:r w:rsidRPr="004E703E">
        <w:rPr>
          <w:rFonts w:ascii="Garamond" w:hAnsi="Garamond" w:cs="Times New Roman"/>
          <w:sz w:val="24"/>
          <w:szCs w:val="24"/>
        </w:rPr>
        <w:t>Situated Context</w:t>
      </w:r>
    </w:p>
    <w:p w:rsidR="00A838E5" w:rsidRPr="004E703E" w:rsidRDefault="00A838E5" w:rsidP="00A838E5">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Pacific Northwest</w:t>
      </w:r>
    </w:p>
    <w:p w:rsidR="00A838E5" w:rsidRPr="004E703E" w:rsidRDefault="00A838E5" w:rsidP="00A838E5">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Cascadia Subduction Zone: history and infrequency of earthquakes since colonial times, native oral tradition, missing earthquake culture </w:t>
      </w:r>
    </w:p>
    <w:p w:rsidR="00A838E5" w:rsidRPr="004E703E" w:rsidRDefault="00A838E5" w:rsidP="00A838E5">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Japan</w:t>
      </w:r>
    </w:p>
    <w:p w:rsidR="00A838E5" w:rsidRPr="004E703E" w:rsidRDefault="00A838E5" w:rsidP="00A838E5">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Memory of disasters, recent and frequent earthquakes </w:t>
      </w:r>
    </w:p>
    <w:p w:rsidR="004E703E" w:rsidRPr="004E703E" w:rsidRDefault="004E703E"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Connections between place</w:t>
      </w:r>
    </w:p>
    <w:p w:rsidR="004E703E" w:rsidRPr="004E703E" w:rsidRDefault="004E703E"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Pacific Ocean (</w:t>
      </w:r>
      <w:r w:rsidR="00A838E5" w:rsidRPr="004E703E">
        <w:rPr>
          <w:rFonts w:ascii="Garamond" w:hAnsi="Garamond" w:cs="Times New Roman"/>
          <w:sz w:val="24"/>
          <w:szCs w:val="24"/>
        </w:rPr>
        <w:t>Orphan tsunami</w:t>
      </w:r>
      <w:r w:rsidRPr="004E703E">
        <w:rPr>
          <w:rFonts w:ascii="Garamond" w:hAnsi="Garamond" w:cs="Times New Roman"/>
          <w:sz w:val="24"/>
          <w:szCs w:val="24"/>
        </w:rPr>
        <w:t>)</w:t>
      </w:r>
      <w:r w:rsidR="00A838E5" w:rsidRPr="004E703E">
        <w:rPr>
          <w:rFonts w:ascii="Garamond" w:hAnsi="Garamond" w:cs="Times New Roman"/>
          <w:sz w:val="24"/>
          <w:szCs w:val="24"/>
        </w:rPr>
        <w:t xml:space="preserve"> </w:t>
      </w:r>
    </w:p>
    <w:p w:rsidR="00A838E5" w:rsidRPr="004E703E" w:rsidRDefault="004E703E"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Disaster cultures: war and peace</w:t>
      </w:r>
    </w:p>
    <w:p w:rsidR="00D84599" w:rsidRPr="003916B7" w:rsidRDefault="004E703E" w:rsidP="004E703E">
      <w:pPr>
        <w:pStyle w:val="ListParagraph"/>
        <w:numPr>
          <w:ilvl w:val="0"/>
          <w:numId w:val="1"/>
        </w:numPr>
        <w:rPr>
          <w:rFonts w:ascii="Garamond" w:hAnsi="Garamond" w:cs="Times New Roman"/>
          <w:b/>
          <w:sz w:val="24"/>
          <w:szCs w:val="24"/>
        </w:rPr>
      </w:pPr>
      <w:r w:rsidRPr="004E703E">
        <w:rPr>
          <w:rFonts w:ascii="Garamond" w:hAnsi="Garamond" w:cs="Times New Roman"/>
          <w:sz w:val="24"/>
          <w:szCs w:val="24"/>
        </w:rPr>
        <w:t>Research Question</w:t>
      </w:r>
      <w:r w:rsidR="00A838E5" w:rsidRPr="004E703E">
        <w:rPr>
          <w:rFonts w:ascii="Garamond" w:hAnsi="Garamond" w:cs="Times New Roman"/>
          <w:sz w:val="24"/>
          <w:szCs w:val="24"/>
        </w:rPr>
        <w:t>:</w:t>
      </w:r>
      <w:r w:rsidR="00D84599">
        <w:rPr>
          <w:rFonts w:ascii="Garamond" w:hAnsi="Garamond" w:cs="Times New Roman"/>
          <w:sz w:val="24"/>
          <w:szCs w:val="24"/>
        </w:rPr>
        <w:t xml:space="preserve"> </w:t>
      </w:r>
      <w:r w:rsidR="00D84599" w:rsidRPr="003916B7">
        <w:rPr>
          <w:rFonts w:ascii="Garamond" w:hAnsi="Garamond" w:cs="Times New Roman"/>
          <w:b/>
          <w:sz w:val="24"/>
          <w:szCs w:val="24"/>
        </w:rPr>
        <w:t xml:space="preserve">How and why does Japanese and American literature render earthquakes and earthquake cultures? </w:t>
      </w:r>
    </w:p>
    <w:p w:rsidR="004E703E" w:rsidRPr="004E703E" w:rsidRDefault="00D84599" w:rsidP="00D84599">
      <w:pPr>
        <w:pStyle w:val="ListParagraph"/>
        <w:numPr>
          <w:ilvl w:val="1"/>
          <w:numId w:val="1"/>
        </w:numPr>
        <w:rPr>
          <w:rFonts w:ascii="Garamond" w:hAnsi="Garamond" w:cs="Times New Roman"/>
          <w:sz w:val="24"/>
          <w:szCs w:val="24"/>
        </w:rPr>
      </w:pPr>
      <w:r>
        <w:rPr>
          <w:rFonts w:ascii="Garamond" w:hAnsi="Garamond" w:cs="Times New Roman"/>
          <w:sz w:val="24"/>
          <w:szCs w:val="24"/>
        </w:rPr>
        <w:t>Limitations of question</w:t>
      </w:r>
      <w:r w:rsidR="00A838E5" w:rsidRPr="004E703E">
        <w:rPr>
          <w:rFonts w:ascii="Garamond" w:hAnsi="Garamond" w:cs="Times New Roman"/>
          <w:sz w:val="24"/>
          <w:szCs w:val="24"/>
        </w:rPr>
        <w:t xml:space="preserve"> </w:t>
      </w:r>
    </w:p>
    <w:p w:rsidR="00A838E5" w:rsidRPr="004E703E" w:rsidRDefault="00A838E5" w:rsidP="004E703E">
      <w:pPr>
        <w:pStyle w:val="ListParagraph"/>
        <w:numPr>
          <w:ilvl w:val="0"/>
          <w:numId w:val="1"/>
        </w:numPr>
        <w:rPr>
          <w:rFonts w:ascii="Garamond" w:hAnsi="Garamond" w:cs="Times New Roman"/>
          <w:sz w:val="24"/>
          <w:szCs w:val="24"/>
        </w:rPr>
      </w:pPr>
      <w:r w:rsidRPr="004E703E">
        <w:rPr>
          <w:rFonts w:ascii="Garamond" w:hAnsi="Garamond" w:cs="Times New Roman"/>
          <w:sz w:val="24"/>
          <w:szCs w:val="24"/>
        </w:rPr>
        <w:t xml:space="preserve">Methods </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 xml:space="preserve">Literary Analysis of </w:t>
      </w:r>
      <w:r w:rsidR="004E703E" w:rsidRPr="004E703E">
        <w:rPr>
          <w:rFonts w:ascii="Garamond" w:hAnsi="Garamond" w:cs="Times New Roman"/>
          <w:sz w:val="24"/>
          <w:szCs w:val="24"/>
        </w:rPr>
        <w:t>5</w:t>
      </w:r>
      <w:r w:rsidRPr="004E703E">
        <w:rPr>
          <w:rFonts w:ascii="Garamond" w:hAnsi="Garamond" w:cs="Times New Roman"/>
          <w:sz w:val="24"/>
          <w:szCs w:val="24"/>
        </w:rPr>
        <w:t xml:space="preserve"> contemporary literary texts that render or respond to earthquakes </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Identification of the function of artistic elements such as tropes, genres, narrative structure, metaphors, etc. </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Context Clues</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Collection of interviews and author statements to discover authorial intention, biography, and lived experience (</w:t>
      </w:r>
      <w:proofErr w:type="spellStart"/>
      <w:r w:rsidRPr="004E703E">
        <w:rPr>
          <w:rFonts w:ascii="Garamond" w:hAnsi="Garamond" w:cs="Times New Roman"/>
          <w:sz w:val="24"/>
          <w:szCs w:val="24"/>
        </w:rPr>
        <w:t>Slovic</w:t>
      </w:r>
      <w:proofErr w:type="spellEnd"/>
      <w:r w:rsidRPr="004E703E">
        <w:rPr>
          <w:rFonts w:ascii="Garamond" w:hAnsi="Garamond" w:cs="Times New Roman"/>
          <w:sz w:val="24"/>
          <w:szCs w:val="24"/>
        </w:rPr>
        <w:t xml:space="preserve"> &amp; </w:t>
      </w:r>
      <w:proofErr w:type="spellStart"/>
      <w:r w:rsidRPr="004E703E">
        <w:rPr>
          <w:rFonts w:ascii="Garamond" w:hAnsi="Garamond" w:cs="Times New Roman"/>
          <w:sz w:val="24"/>
          <w:szCs w:val="24"/>
        </w:rPr>
        <w:t>Slatterfield</w:t>
      </w:r>
      <w:proofErr w:type="spellEnd"/>
      <w:r w:rsidRPr="004E703E">
        <w:rPr>
          <w:rFonts w:ascii="Garamond" w:hAnsi="Garamond" w:cs="Times New Roman"/>
          <w:sz w:val="24"/>
          <w:szCs w:val="24"/>
        </w:rPr>
        <w:t xml:space="preserve">) </w:t>
      </w:r>
    </w:p>
    <w:p w:rsidR="00A838E5" w:rsidRPr="004E703E" w:rsidRDefault="00A838E5" w:rsidP="004E703E">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Necessary to answer research question #2 regarding the cultural and authorial contexts </w:t>
      </w:r>
    </w:p>
    <w:p w:rsidR="00A838E5" w:rsidRPr="004E703E" w:rsidRDefault="00A838E5" w:rsidP="004E703E">
      <w:pPr>
        <w:pStyle w:val="ListParagraph"/>
        <w:numPr>
          <w:ilvl w:val="3"/>
          <w:numId w:val="1"/>
        </w:numPr>
        <w:rPr>
          <w:rFonts w:ascii="Garamond" w:hAnsi="Garamond" w:cs="Times New Roman"/>
          <w:sz w:val="24"/>
          <w:szCs w:val="24"/>
        </w:rPr>
      </w:pPr>
      <w:r w:rsidRPr="004E703E">
        <w:rPr>
          <w:rFonts w:ascii="Garamond" w:hAnsi="Garamond" w:cs="Times New Roman"/>
          <w:sz w:val="24"/>
          <w:szCs w:val="24"/>
        </w:rPr>
        <w:t xml:space="preserve">Comparison between literary theoretical framework and author philosophy </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Content and narrative analysis of news articles and reports documenting the specific disasters present in the text (Cascadia Subduction Zone, Tohoku Quake, etc.) </w:t>
      </w:r>
    </w:p>
    <w:p w:rsidR="00A838E5" w:rsidRPr="004E703E" w:rsidRDefault="00A838E5" w:rsidP="004E703E">
      <w:pPr>
        <w:pStyle w:val="ListParagraph"/>
        <w:numPr>
          <w:ilvl w:val="0"/>
          <w:numId w:val="1"/>
        </w:numPr>
        <w:rPr>
          <w:rFonts w:ascii="Garamond" w:hAnsi="Garamond" w:cs="Times New Roman"/>
          <w:sz w:val="24"/>
          <w:szCs w:val="24"/>
        </w:rPr>
      </w:pPr>
      <w:r w:rsidRPr="004E703E">
        <w:rPr>
          <w:rFonts w:ascii="Garamond" w:hAnsi="Garamond" w:cs="Times New Roman"/>
          <w:sz w:val="24"/>
          <w:szCs w:val="24"/>
        </w:rPr>
        <w:t>Data and Results</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i/>
          <w:sz w:val="24"/>
          <w:szCs w:val="24"/>
        </w:rPr>
        <w:t xml:space="preserve">after the quake </w:t>
      </w:r>
      <w:r w:rsidRPr="004E703E">
        <w:rPr>
          <w:rFonts w:ascii="Garamond" w:hAnsi="Garamond" w:cs="Times New Roman"/>
          <w:sz w:val="24"/>
          <w:szCs w:val="24"/>
        </w:rPr>
        <w:t>(</w:t>
      </w:r>
      <w:proofErr w:type="spellStart"/>
      <w:r w:rsidRPr="004E703E">
        <w:rPr>
          <w:rFonts w:ascii="Garamond" w:hAnsi="Garamond" w:cs="Times New Roman"/>
          <w:sz w:val="24"/>
          <w:szCs w:val="24"/>
        </w:rPr>
        <w:t>Marukami</w:t>
      </w:r>
      <w:proofErr w:type="spellEnd"/>
      <w:r w:rsidRPr="004E703E">
        <w:rPr>
          <w:rFonts w:ascii="Garamond" w:hAnsi="Garamond" w:cs="Times New Roman"/>
          <w:sz w:val="24"/>
          <w:szCs w:val="24"/>
        </w:rPr>
        <w:t xml:space="preserve">) – responsive </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Play adaptation – responsive </w:t>
      </w:r>
    </w:p>
    <w:p w:rsidR="00A838E5" w:rsidRPr="004E703E" w:rsidRDefault="00A838E5" w:rsidP="004E703E">
      <w:pPr>
        <w:pStyle w:val="ListParagraph"/>
        <w:numPr>
          <w:ilvl w:val="2"/>
          <w:numId w:val="1"/>
        </w:numPr>
        <w:rPr>
          <w:rFonts w:ascii="Garamond" w:hAnsi="Garamond" w:cs="Times New Roman"/>
          <w:sz w:val="24"/>
          <w:szCs w:val="24"/>
        </w:rPr>
      </w:pPr>
      <w:proofErr w:type="spellStart"/>
      <w:r w:rsidRPr="004E703E">
        <w:rPr>
          <w:rFonts w:ascii="Garamond" w:hAnsi="Garamond" w:cs="Times New Roman"/>
          <w:sz w:val="24"/>
          <w:szCs w:val="24"/>
        </w:rPr>
        <w:t>Starrs</w:t>
      </w:r>
      <w:proofErr w:type="spellEnd"/>
      <w:r w:rsidRPr="004E703E">
        <w:rPr>
          <w:rFonts w:ascii="Garamond" w:hAnsi="Garamond" w:cs="Times New Roman"/>
          <w:sz w:val="24"/>
          <w:szCs w:val="24"/>
        </w:rPr>
        <w:t xml:space="preserve"> </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March Was Made of Yarn – responsive and philanthropic </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 xml:space="preserve">Analysis: disaster peripheral, short story format, magical realism, </w:t>
      </w:r>
    </w:p>
    <w:p w:rsidR="004E703E" w:rsidRPr="004E703E" w:rsidRDefault="004E703E" w:rsidP="004E703E">
      <w:pPr>
        <w:pStyle w:val="ListParagraph"/>
        <w:numPr>
          <w:ilvl w:val="1"/>
          <w:numId w:val="1"/>
        </w:numPr>
        <w:rPr>
          <w:rFonts w:ascii="Garamond" w:hAnsi="Garamond" w:cs="Times New Roman"/>
          <w:i/>
          <w:sz w:val="24"/>
          <w:szCs w:val="24"/>
        </w:rPr>
      </w:pPr>
      <w:r w:rsidRPr="004E703E">
        <w:rPr>
          <w:rFonts w:ascii="Garamond" w:hAnsi="Garamond" w:cs="Times New Roman"/>
          <w:i/>
          <w:sz w:val="24"/>
          <w:szCs w:val="24"/>
        </w:rPr>
        <w:t xml:space="preserve">Tale for the Time Being </w:t>
      </w:r>
      <w:r w:rsidRPr="004E703E">
        <w:rPr>
          <w:rFonts w:ascii="Garamond" w:hAnsi="Garamond" w:cs="Times New Roman"/>
          <w:sz w:val="24"/>
          <w:szCs w:val="24"/>
        </w:rPr>
        <w:t xml:space="preserve">(Ruth </w:t>
      </w:r>
      <w:proofErr w:type="spellStart"/>
      <w:r w:rsidRPr="004E703E">
        <w:rPr>
          <w:rFonts w:ascii="Garamond" w:hAnsi="Garamond" w:cs="Times New Roman"/>
          <w:sz w:val="24"/>
          <w:szCs w:val="24"/>
        </w:rPr>
        <w:t>Ozeki</w:t>
      </w:r>
      <w:proofErr w:type="spellEnd"/>
      <w:r w:rsidRPr="004E703E">
        <w:rPr>
          <w:rFonts w:ascii="Garamond" w:hAnsi="Garamond" w:cs="Times New Roman"/>
          <w:sz w:val="24"/>
          <w:szCs w:val="24"/>
        </w:rPr>
        <w:t xml:space="preserve">) – responsive </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 xml:space="preserve"> “After the Big One” (Rothstein) – prospective </w:t>
      </w:r>
    </w:p>
    <w:p w:rsidR="00A838E5" w:rsidRPr="004E703E" w:rsidRDefault="00A838E5"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Science Fiction</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Author biographies discussion (integrated)</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 xml:space="preserve">Comparative and theoretical discussion </w:t>
      </w:r>
    </w:p>
    <w:p w:rsidR="004E703E" w:rsidRDefault="004E703E" w:rsidP="00A838E5">
      <w:pPr>
        <w:jc w:val="center"/>
        <w:rPr>
          <w:rFonts w:ascii="Garamond" w:hAnsi="Garamond" w:cs="Times New Roman"/>
          <w:b/>
          <w:sz w:val="28"/>
          <w:szCs w:val="28"/>
        </w:rPr>
      </w:pPr>
    </w:p>
    <w:p w:rsidR="004E703E" w:rsidRDefault="004E703E" w:rsidP="00A838E5">
      <w:pPr>
        <w:jc w:val="center"/>
        <w:rPr>
          <w:rFonts w:ascii="Garamond" w:hAnsi="Garamond" w:cs="Times New Roman"/>
          <w:b/>
          <w:sz w:val="28"/>
          <w:szCs w:val="28"/>
        </w:rPr>
      </w:pPr>
    </w:p>
    <w:p w:rsidR="00A838E5" w:rsidRPr="004E703E" w:rsidRDefault="00A838E5" w:rsidP="00A838E5">
      <w:pPr>
        <w:jc w:val="center"/>
        <w:rPr>
          <w:rFonts w:ascii="Garamond" w:hAnsi="Garamond" w:cs="Times New Roman"/>
          <w:b/>
          <w:sz w:val="28"/>
          <w:szCs w:val="28"/>
        </w:rPr>
      </w:pPr>
      <w:r w:rsidRPr="004E703E">
        <w:rPr>
          <w:rFonts w:ascii="Garamond" w:hAnsi="Garamond" w:cs="Times New Roman"/>
          <w:b/>
          <w:sz w:val="28"/>
          <w:szCs w:val="28"/>
        </w:rPr>
        <w:lastRenderedPageBreak/>
        <w:t>BOTTOM OF THE HOURGLASS</w:t>
      </w:r>
    </w:p>
    <w:p w:rsidR="00A838E5" w:rsidRPr="004E703E" w:rsidRDefault="004E703E" w:rsidP="004E703E">
      <w:pPr>
        <w:pStyle w:val="ListParagraph"/>
        <w:numPr>
          <w:ilvl w:val="0"/>
          <w:numId w:val="1"/>
        </w:numPr>
        <w:rPr>
          <w:rFonts w:ascii="Garamond" w:hAnsi="Garamond" w:cs="Times New Roman"/>
          <w:sz w:val="24"/>
          <w:szCs w:val="24"/>
        </w:rPr>
      </w:pPr>
      <w:r w:rsidRPr="004E703E">
        <w:rPr>
          <w:rFonts w:ascii="Garamond" w:hAnsi="Garamond" w:cs="Times New Roman"/>
          <w:sz w:val="24"/>
          <w:szCs w:val="24"/>
        </w:rPr>
        <w:t>Thesis/punchline and implications</w:t>
      </w:r>
    </w:p>
    <w:p w:rsidR="004E703E" w:rsidRPr="004E703E" w:rsidRDefault="004E703E"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Disaster Studies and the emotions of artists</w:t>
      </w:r>
    </w:p>
    <w:p w:rsidR="004E703E" w:rsidRPr="004E703E" w:rsidRDefault="004E703E"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T</w:t>
      </w:r>
      <w:r w:rsidR="00A838E5" w:rsidRPr="004E703E">
        <w:rPr>
          <w:rFonts w:ascii="Garamond" w:hAnsi="Garamond" w:cs="Times New Roman"/>
          <w:sz w:val="24"/>
          <w:szCs w:val="24"/>
        </w:rPr>
        <w:t>he role of literature to facilitat</w:t>
      </w:r>
      <w:r w:rsidRPr="004E703E">
        <w:rPr>
          <w:rFonts w:ascii="Garamond" w:hAnsi="Garamond" w:cs="Times New Roman"/>
          <w:sz w:val="24"/>
          <w:szCs w:val="24"/>
        </w:rPr>
        <w:t xml:space="preserve">e and channel grief and healing </w:t>
      </w:r>
    </w:p>
    <w:p w:rsidR="00A838E5" w:rsidRPr="004E703E" w:rsidRDefault="004E703E" w:rsidP="004E703E">
      <w:pPr>
        <w:pStyle w:val="ListParagraph"/>
        <w:numPr>
          <w:ilvl w:val="2"/>
          <w:numId w:val="1"/>
        </w:numPr>
        <w:rPr>
          <w:rFonts w:ascii="Garamond" w:hAnsi="Garamond" w:cs="Times New Roman"/>
          <w:sz w:val="24"/>
          <w:szCs w:val="24"/>
        </w:rPr>
      </w:pPr>
      <w:r w:rsidRPr="004E703E">
        <w:rPr>
          <w:rFonts w:ascii="Garamond" w:hAnsi="Garamond" w:cs="Times New Roman"/>
          <w:sz w:val="24"/>
          <w:szCs w:val="24"/>
        </w:rPr>
        <w:t>T</w:t>
      </w:r>
      <w:r w:rsidR="00A838E5" w:rsidRPr="004E703E">
        <w:rPr>
          <w:rFonts w:ascii="Garamond" w:hAnsi="Garamond" w:cs="Times New Roman"/>
          <w:sz w:val="24"/>
          <w:szCs w:val="24"/>
        </w:rPr>
        <w:t xml:space="preserve">he role of literature to serve as a warning and perhaps incite change (at least conversation) </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Ecocriticism &amp; environmental humanities: moving away from classic environmentalist assumptions and treatments of environmental crisis by considering the placement of disaster lit</w:t>
      </w:r>
      <w:r w:rsidR="004E703E" w:rsidRPr="004E703E">
        <w:rPr>
          <w:rFonts w:ascii="Garamond" w:hAnsi="Garamond" w:cs="Times New Roman"/>
          <w:sz w:val="24"/>
          <w:szCs w:val="24"/>
        </w:rPr>
        <w:t>erature</w:t>
      </w:r>
      <w:r w:rsidRPr="004E703E">
        <w:rPr>
          <w:rFonts w:ascii="Garamond" w:hAnsi="Garamond" w:cs="Times New Roman"/>
          <w:sz w:val="24"/>
          <w:szCs w:val="24"/>
        </w:rPr>
        <w:t xml:space="preserve"> within this field</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Culture versus nature: an untrue binary as demonstrated by its permeability and collapse within EQ fiction</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Global disaster: the relationship between Japan and the US in this earthquake context demonstrates a fluidity between global boundaries that highlights the ripple effect of the emotional and physical sensations that accompany disaster</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Place and unsettled landscapes</w:t>
      </w:r>
      <w:r w:rsidR="004E703E" w:rsidRPr="004E703E">
        <w:rPr>
          <w:rFonts w:ascii="Garamond" w:hAnsi="Garamond" w:cs="Times New Roman"/>
          <w:sz w:val="24"/>
          <w:szCs w:val="24"/>
        </w:rPr>
        <w:t xml:space="preserve">, further unsettled or moving towards being settled by authors and their intentions </w:t>
      </w:r>
    </w:p>
    <w:p w:rsidR="00A838E5" w:rsidRPr="004E703E" w:rsidRDefault="00A838E5" w:rsidP="004E703E">
      <w:pPr>
        <w:pStyle w:val="ListParagraph"/>
        <w:numPr>
          <w:ilvl w:val="0"/>
          <w:numId w:val="1"/>
        </w:numPr>
        <w:rPr>
          <w:rFonts w:ascii="Garamond" w:hAnsi="Garamond" w:cs="Times New Roman"/>
          <w:sz w:val="24"/>
          <w:szCs w:val="24"/>
        </w:rPr>
      </w:pPr>
      <w:r w:rsidRPr="004E703E">
        <w:rPr>
          <w:rFonts w:ascii="Garamond" w:hAnsi="Garamond" w:cs="Times New Roman"/>
          <w:sz w:val="24"/>
          <w:szCs w:val="24"/>
        </w:rPr>
        <w:t xml:space="preserve">The function of art to expand imaginations in many realms </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 xml:space="preserve">Needed to supplement science with emotional content that assists scientific communication and application </w:t>
      </w:r>
    </w:p>
    <w:p w:rsidR="00A838E5" w:rsidRPr="004E703E" w:rsidRDefault="00A838E5" w:rsidP="004E703E">
      <w:pPr>
        <w:pStyle w:val="ListParagraph"/>
        <w:numPr>
          <w:ilvl w:val="1"/>
          <w:numId w:val="1"/>
        </w:numPr>
        <w:rPr>
          <w:rFonts w:ascii="Garamond" w:hAnsi="Garamond" w:cs="Times New Roman"/>
          <w:sz w:val="24"/>
          <w:szCs w:val="24"/>
        </w:rPr>
      </w:pPr>
      <w:r w:rsidRPr="004E703E">
        <w:rPr>
          <w:rFonts w:ascii="Garamond" w:hAnsi="Garamond" w:cs="Times New Roman"/>
          <w:sz w:val="24"/>
          <w:szCs w:val="24"/>
        </w:rPr>
        <w:t xml:space="preserve">While this paper argues that natural disasters complicate the classic environmentalist viewpoints of literature responding to climate change, the lessons learned about the relationship between prospective and responsive viewpoints, author intention, the unsettling of place, and global connection may serve to inspire, inform, and bolster literary campaigns regarding other types of catastrophes or fears. Importantly, this paper conceives of literature as an actor in a complex network of reader and writers in an unsettled seismic world. This literature is both a product </w:t>
      </w:r>
      <w:r w:rsidRPr="004E703E">
        <w:rPr>
          <w:rFonts w:ascii="Garamond" w:hAnsi="Garamond" w:cs="Times New Roman"/>
          <w:i/>
          <w:sz w:val="24"/>
          <w:szCs w:val="24"/>
        </w:rPr>
        <w:t xml:space="preserve">of </w:t>
      </w:r>
      <w:r w:rsidRPr="004E703E">
        <w:rPr>
          <w:rFonts w:ascii="Garamond" w:hAnsi="Garamond" w:cs="Times New Roman"/>
          <w:sz w:val="24"/>
          <w:szCs w:val="24"/>
        </w:rPr>
        <w:t>that unsettled world and produces</w:t>
      </w:r>
      <w:r w:rsidRPr="004E703E">
        <w:rPr>
          <w:rFonts w:ascii="Garamond" w:hAnsi="Garamond" w:cs="Times New Roman"/>
          <w:i/>
          <w:sz w:val="24"/>
          <w:szCs w:val="24"/>
        </w:rPr>
        <w:t xml:space="preserve"> </w:t>
      </w:r>
      <w:r w:rsidRPr="004E703E">
        <w:rPr>
          <w:rFonts w:ascii="Garamond" w:hAnsi="Garamond" w:cs="Times New Roman"/>
          <w:sz w:val="24"/>
          <w:szCs w:val="24"/>
        </w:rPr>
        <w:t xml:space="preserve">it. </w:t>
      </w:r>
    </w:p>
    <w:p w:rsidR="0083777C" w:rsidRPr="004E703E" w:rsidRDefault="003916B7" w:rsidP="00A838E5">
      <w:pPr>
        <w:rPr>
          <w:rFonts w:ascii="Garamond" w:hAnsi="Garamond"/>
        </w:rPr>
      </w:pPr>
    </w:p>
    <w:sectPr w:rsidR="0083777C" w:rsidRPr="004E7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3BF"/>
    <w:multiLevelType w:val="hybridMultilevel"/>
    <w:tmpl w:val="5620891C"/>
    <w:lvl w:ilvl="0" w:tplc="B18CCB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E5B54"/>
    <w:multiLevelType w:val="hybridMultilevel"/>
    <w:tmpl w:val="DEBC5542"/>
    <w:lvl w:ilvl="0" w:tplc="2C0412BA">
      <w:start w:val="100"/>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E5"/>
    <w:rsid w:val="000F43B9"/>
    <w:rsid w:val="003916B7"/>
    <w:rsid w:val="003B1698"/>
    <w:rsid w:val="004E703E"/>
    <w:rsid w:val="00A838E5"/>
    <w:rsid w:val="00B144CA"/>
    <w:rsid w:val="00C044FD"/>
    <w:rsid w:val="00D8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9327"/>
  <w15:chartTrackingRefBased/>
  <w15:docId w15:val="{CB35A05A-DDDC-4257-971A-D5F7C7D5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83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8E5"/>
    <w:pPr>
      <w:ind w:left="720"/>
      <w:contextualSpacing/>
    </w:pPr>
  </w:style>
  <w:style w:type="character" w:styleId="Strong">
    <w:name w:val="Strong"/>
    <w:basedOn w:val="DefaultParagraphFont"/>
    <w:uiPriority w:val="22"/>
    <w:qFormat/>
    <w:rsid w:val="00A83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Smay</dc:creator>
  <cp:keywords/>
  <dc:description/>
  <cp:lastModifiedBy>Hannah Smay</cp:lastModifiedBy>
  <cp:revision>3</cp:revision>
  <dcterms:created xsi:type="dcterms:W3CDTF">2017-01-26T22:45:00Z</dcterms:created>
  <dcterms:modified xsi:type="dcterms:W3CDTF">2017-01-26T23:05:00Z</dcterms:modified>
</cp:coreProperties>
</file>